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BA77B" w14:textId="77777777" w:rsidR="000719BB" w:rsidRDefault="000719BB" w:rsidP="006C2343">
      <w:pPr>
        <w:pStyle w:val="Titul2"/>
      </w:pPr>
    </w:p>
    <w:p w14:paraId="1A151611" w14:textId="77777777" w:rsidR="00826B7B" w:rsidRDefault="00826B7B" w:rsidP="006C2343">
      <w:pPr>
        <w:pStyle w:val="Titul2"/>
      </w:pPr>
    </w:p>
    <w:p w14:paraId="35FC51BC" w14:textId="77777777" w:rsidR="00DA1C67" w:rsidRDefault="00DA1C67" w:rsidP="006C2343">
      <w:pPr>
        <w:pStyle w:val="Titul2"/>
      </w:pPr>
    </w:p>
    <w:p w14:paraId="2BD85EAF" w14:textId="77777777" w:rsidR="003254A3" w:rsidRPr="000719BB" w:rsidRDefault="00BD76C3" w:rsidP="006C2343">
      <w:pPr>
        <w:pStyle w:val="Titul2"/>
      </w:pPr>
      <w:r>
        <w:t>Příloha č. 2 c)</w:t>
      </w:r>
    </w:p>
    <w:p w14:paraId="26B51AB2" w14:textId="77777777" w:rsidR="003254A3" w:rsidRDefault="003254A3" w:rsidP="00AD0C7B">
      <w:pPr>
        <w:pStyle w:val="Titul2"/>
      </w:pPr>
    </w:p>
    <w:p w14:paraId="0CCDDE35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50D24BEE" w14:textId="77777777" w:rsidR="00AD0C7B" w:rsidRDefault="00AD0C7B" w:rsidP="00EB46E5">
      <w:pPr>
        <w:pStyle w:val="Titul2"/>
      </w:pPr>
    </w:p>
    <w:p w14:paraId="2EB7B78A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5908E6F3" w14:textId="77777777" w:rsidR="002007BA" w:rsidRDefault="002007BA" w:rsidP="006C2343">
      <w:pPr>
        <w:pStyle w:val="Tituldatum"/>
      </w:pPr>
    </w:p>
    <w:sdt>
      <w:sdtPr>
        <w:rPr>
          <w:b/>
          <w:sz w:val="36"/>
        </w:rPr>
        <w:alias w:val="Název akce - Vypsat pole, přenese se do zápatí"/>
        <w:tag w:val="Název akce"/>
        <w:id w:val="1889687308"/>
        <w:placeholder>
          <w:docPart w:val="655E73B7044C4859909A2AF792CD5276"/>
        </w:placeholder>
        <w:text w:multiLine="1"/>
      </w:sdtPr>
      <w:sdtEndPr/>
      <w:sdtContent>
        <w:p w14:paraId="4590CC7F" w14:textId="5A3E5ABA" w:rsidR="00BF54FE" w:rsidRDefault="004260B8" w:rsidP="006C2343">
          <w:pPr>
            <w:pStyle w:val="Tituldatum"/>
          </w:pPr>
          <w:r w:rsidRPr="004260B8">
            <w:rPr>
              <w:b/>
              <w:sz w:val="36"/>
            </w:rPr>
            <w:t>„</w:t>
          </w:r>
          <w:r w:rsidR="00D07288">
            <w:rPr>
              <w:b/>
              <w:sz w:val="36"/>
            </w:rPr>
            <w:t>Třinec ON – úprava nevyužitých prostor</w:t>
          </w:r>
          <w:r w:rsidRPr="004260B8">
            <w:rPr>
              <w:b/>
              <w:sz w:val="36"/>
            </w:rPr>
            <w:t>“</w:t>
          </w:r>
        </w:p>
      </w:sdtContent>
    </w:sdt>
    <w:p w14:paraId="5F020445" w14:textId="77777777" w:rsidR="00BF54FE" w:rsidRDefault="00BF54FE" w:rsidP="006C2343">
      <w:pPr>
        <w:pStyle w:val="Tituldatum"/>
      </w:pPr>
    </w:p>
    <w:p w14:paraId="6B6AA6A0" w14:textId="77777777" w:rsidR="009226C1" w:rsidRDefault="009226C1" w:rsidP="006C2343">
      <w:pPr>
        <w:pStyle w:val="Tituldatum"/>
      </w:pPr>
    </w:p>
    <w:p w14:paraId="758746FA" w14:textId="77777777" w:rsidR="00DA1C67" w:rsidRDefault="00DA1C67" w:rsidP="006C2343">
      <w:pPr>
        <w:pStyle w:val="Tituldatum"/>
      </w:pPr>
    </w:p>
    <w:p w14:paraId="61BAD297" w14:textId="77777777" w:rsidR="00DA1C67" w:rsidRDefault="00DA1C67" w:rsidP="006C2343">
      <w:pPr>
        <w:pStyle w:val="Tituldatum"/>
      </w:pPr>
    </w:p>
    <w:p w14:paraId="572DC8BD" w14:textId="77777777" w:rsidR="003B111D" w:rsidRDefault="003B111D" w:rsidP="006C2343">
      <w:pPr>
        <w:pStyle w:val="Tituldatum"/>
      </w:pPr>
    </w:p>
    <w:p w14:paraId="127AEB5B" w14:textId="69F1BFA4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F367A" w:rsidRPr="00893C2E">
        <w:t>21. 5</w:t>
      </w:r>
      <w:r w:rsidR="004428F7" w:rsidRPr="00893C2E">
        <w:t>. 2020</w:t>
      </w:r>
    </w:p>
    <w:p w14:paraId="10A3BCBB" w14:textId="77777777" w:rsidR="00DA1C67" w:rsidRDefault="00826B7B">
      <w:r>
        <w:br w:type="page"/>
      </w:r>
    </w:p>
    <w:p w14:paraId="748C0E06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2AFEAB19" w14:textId="7ECD6A21" w:rsidR="00DC4C9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4001711" w:history="1">
        <w:r w:rsidR="00DC4C9F" w:rsidRPr="00495E5F">
          <w:rPr>
            <w:rStyle w:val="Hypertextovodkaz"/>
          </w:rPr>
          <w:t>SEZNAM ZKRATEK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_Toc54001711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2</w:t>
        </w:r>
        <w:r w:rsidR="00DC4C9F">
          <w:rPr>
            <w:noProof/>
            <w:webHidden/>
          </w:rPr>
          <w:fldChar w:fldCharType="end"/>
        </w:r>
      </w:hyperlink>
    </w:p>
    <w:p w14:paraId="06F6AC16" w14:textId="53899F7E" w:rsidR="00DC4C9F" w:rsidRDefault="00D0372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001712" w:history="1">
        <w:r w:rsidR="00DC4C9F" w:rsidRPr="00495E5F">
          <w:rPr>
            <w:rStyle w:val="Hypertextovodkaz"/>
          </w:rPr>
          <w:t>1.</w:t>
        </w:r>
        <w:r w:rsidR="00DC4C9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SPECIFIKACE PŘEDMĚTU DÍLA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_Toc54001712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3</w:t>
        </w:r>
        <w:r w:rsidR="00DC4C9F">
          <w:rPr>
            <w:noProof/>
            <w:webHidden/>
          </w:rPr>
          <w:fldChar w:fldCharType="end"/>
        </w:r>
      </w:hyperlink>
    </w:p>
    <w:p w14:paraId="40347ED7" w14:textId="7CD2CABB" w:rsidR="00DC4C9F" w:rsidRDefault="00D0372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001713" w:history="1">
        <w:r w:rsidR="00DC4C9F" w:rsidRPr="00495E5F">
          <w:rPr>
            <w:rStyle w:val="Hypertextovodkaz"/>
            <w:rFonts w:asciiTheme="majorHAnsi" w:hAnsiTheme="majorHAnsi"/>
          </w:rPr>
          <w:t>1.1</w:t>
        </w:r>
        <w:r w:rsidR="00DC4C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Účel a rozsah předmětu Díla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_Toc54001713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3</w:t>
        </w:r>
        <w:r w:rsidR="00DC4C9F">
          <w:rPr>
            <w:noProof/>
            <w:webHidden/>
          </w:rPr>
          <w:fldChar w:fldCharType="end"/>
        </w:r>
      </w:hyperlink>
    </w:p>
    <w:p w14:paraId="38F2D672" w14:textId="666039CF" w:rsidR="00DC4C9F" w:rsidRDefault="00D0372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001714" w:history="1">
        <w:r w:rsidR="00DC4C9F" w:rsidRPr="00495E5F">
          <w:rPr>
            <w:rStyle w:val="Hypertextovodkaz"/>
            <w:rFonts w:asciiTheme="majorHAnsi" w:hAnsiTheme="majorHAnsi"/>
          </w:rPr>
          <w:t>1.2</w:t>
        </w:r>
        <w:r w:rsidR="00DC4C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Umístění stavby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_Toc54001714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3</w:t>
        </w:r>
        <w:r w:rsidR="00DC4C9F">
          <w:rPr>
            <w:noProof/>
            <w:webHidden/>
          </w:rPr>
          <w:fldChar w:fldCharType="end"/>
        </w:r>
      </w:hyperlink>
    </w:p>
    <w:p w14:paraId="5719B32C" w14:textId="70B42A0D" w:rsidR="00DC4C9F" w:rsidRDefault="00D0372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001715" w:history="1">
        <w:r w:rsidR="00DC4C9F" w:rsidRPr="00495E5F">
          <w:rPr>
            <w:rStyle w:val="Hypertextovodkaz"/>
          </w:rPr>
          <w:t>2.</w:t>
        </w:r>
        <w:r w:rsidR="00DC4C9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PŘEHLED VÝCHOZÍCH PODKLADŮ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_Toc54001715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5</w:t>
        </w:r>
        <w:r w:rsidR="00DC4C9F">
          <w:rPr>
            <w:noProof/>
            <w:webHidden/>
          </w:rPr>
          <w:fldChar w:fldCharType="end"/>
        </w:r>
      </w:hyperlink>
    </w:p>
    <w:p w14:paraId="0FFB7E12" w14:textId="7BF3316F" w:rsidR="00DC4C9F" w:rsidRDefault="00D0372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001716" w:history="1">
        <w:r w:rsidR="00DC4C9F" w:rsidRPr="00495E5F">
          <w:rPr>
            <w:rStyle w:val="Hypertextovodkaz"/>
            <w:rFonts w:asciiTheme="majorHAnsi" w:hAnsiTheme="majorHAnsi"/>
          </w:rPr>
          <w:t>2.1</w:t>
        </w:r>
        <w:r w:rsidR="00DC4C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Projektová dokumentace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_Toc54001716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5</w:t>
        </w:r>
        <w:r w:rsidR="00DC4C9F">
          <w:rPr>
            <w:noProof/>
            <w:webHidden/>
          </w:rPr>
          <w:fldChar w:fldCharType="end"/>
        </w:r>
      </w:hyperlink>
    </w:p>
    <w:p w14:paraId="3E203F46" w14:textId="45071746" w:rsidR="00DC4C9F" w:rsidRDefault="00D0372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001717" w:history="1">
        <w:r w:rsidR="00DC4C9F" w:rsidRPr="00495E5F">
          <w:rPr>
            <w:rStyle w:val="Hypertextovodkaz"/>
            <w:rFonts w:asciiTheme="majorHAnsi" w:hAnsiTheme="majorHAnsi"/>
          </w:rPr>
          <w:t>2.2</w:t>
        </w:r>
        <w:r w:rsidR="00DC4C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Související dokumentace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_Toc54001717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5</w:t>
        </w:r>
        <w:r w:rsidR="00DC4C9F">
          <w:rPr>
            <w:noProof/>
            <w:webHidden/>
          </w:rPr>
          <w:fldChar w:fldCharType="end"/>
        </w:r>
      </w:hyperlink>
    </w:p>
    <w:p w14:paraId="762825E3" w14:textId="7FDA0050" w:rsidR="00DC4C9F" w:rsidRDefault="00D0372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001718" w:history="1">
        <w:r w:rsidR="00DC4C9F" w:rsidRPr="00495E5F">
          <w:rPr>
            <w:rStyle w:val="Hypertextovodkaz"/>
          </w:rPr>
          <w:t>3.</w:t>
        </w:r>
        <w:r w:rsidR="00DC4C9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KOORDINACE S JINÝMI STAVBAMI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_Toc54001718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5</w:t>
        </w:r>
        <w:r w:rsidR="00DC4C9F">
          <w:rPr>
            <w:noProof/>
            <w:webHidden/>
          </w:rPr>
          <w:fldChar w:fldCharType="end"/>
        </w:r>
      </w:hyperlink>
    </w:p>
    <w:p w14:paraId="7D425DE9" w14:textId="7E6CB9A7" w:rsidR="00DC4C9F" w:rsidRDefault="00D0372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001719" w:history="1">
        <w:r w:rsidR="00DC4C9F" w:rsidRPr="00495E5F">
          <w:rPr>
            <w:rStyle w:val="Hypertextovodkaz"/>
          </w:rPr>
          <w:t>4.</w:t>
        </w:r>
        <w:r w:rsidR="00DC4C9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ZVLÁŠTNÍ TECHNICKÉ PODMÍNKY A POŽADAVKY NA PROVEDENÍ DÍLA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_Toc54001719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6</w:t>
        </w:r>
        <w:r w:rsidR="00DC4C9F">
          <w:rPr>
            <w:noProof/>
            <w:webHidden/>
          </w:rPr>
          <w:fldChar w:fldCharType="end"/>
        </w:r>
      </w:hyperlink>
    </w:p>
    <w:p w14:paraId="7619BBF0" w14:textId="2D6439DC" w:rsidR="00DC4C9F" w:rsidRDefault="00D0372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001720" w:history="1">
        <w:r w:rsidR="00DC4C9F" w:rsidRPr="00495E5F">
          <w:rPr>
            <w:rStyle w:val="Hypertextovodkaz"/>
            <w:rFonts w:asciiTheme="majorHAnsi" w:hAnsiTheme="majorHAnsi"/>
          </w:rPr>
          <w:t>4.1</w:t>
        </w:r>
        <w:r w:rsidR="00DC4C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Všeobecně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_Toc54001720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6</w:t>
        </w:r>
        <w:r w:rsidR="00DC4C9F">
          <w:rPr>
            <w:noProof/>
            <w:webHidden/>
          </w:rPr>
          <w:fldChar w:fldCharType="end"/>
        </w:r>
      </w:hyperlink>
    </w:p>
    <w:p w14:paraId="544BCF9C" w14:textId="6D44FEEB" w:rsidR="00DC4C9F" w:rsidRDefault="00D0372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001721" w:history="1">
        <w:r w:rsidR="00DC4C9F" w:rsidRPr="00495E5F">
          <w:rPr>
            <w:rStyle w:val="Hypertextovodkaz"/>
            <w:rFonts w:asciiTheme="majorHAnsi" w:hAnsiTheme="majorHAnsi"/>
          </w:rPr>
          <w:t>4.2</w:t>
        </w:r>
        <w:r w:rsidR="00DC4C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Doklady překládané zhotovitelem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_Toc54001721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6</w:t>
        </w:r>
        <w:r w:rsidR="00DC4C9F">
          <w:rPr>
            <w:noProof/>
            <w:webHidden/>
          </w:rPr>
          <w:fldChar w:fldCharType="end"/>
        </w:r>
      </w:hyperlink>
    </w:p>
    <w:p w14:paraId="7B688363" w14:textId="5FE70922" w:rsidR="00DC4C9F" w:rsidRDefault="00D0372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001722" w:history="1">
        <w:r w:rsidR="00DC4C9F" w:rsidRPr="00495E5F">
          <w:rPr>
            <w:rStyle w:val="Hypertextovodkaz"/>
            <w:rFonts w:asciiTheme="majorHAnsi" w:hAnsiTheme="majorHAnsi"/>
          </w:rPr>
          <w:t>4.3</w:t>
        </w:r>
        <w:r w:rsidR="00DC4C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Dokumentace zhotovitele pro stavbu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_Toc54001722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6</w:t>
        </w:r>
        <w:r w:rsidR="00DC4C9F">
          <w:rPr>
            <w:noProof/>
            <w:webHidden/>
          </w:rPr>
          <w:fldChar w:fldCharType="end"/>
        </w:r>
      </w:hyperlink>
    </w:p>
    <w:p w14:paraId="7385667F" w14:textId="2F65066A" w:rsidR="00DC4C9F" w:rsidRDefault="00D0372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001723" w:history="1">
        <w:r w:rsidR="00DC4C9F" w:rsidRPr="00495E5F">
          <w:rPr>
            <w:rStyle w:val="Hypertextovodkaz"/>
          </w:rPr>
          <w:t>5.</w:t>
        </w:r>
        <w:r w:rsidR="00DC4C9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ORGANIZACE VÝSTAVBY, VÝLUKY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_Toc54001723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6</w:t>
        </w:r>
        <w:r w:rsidR="00DC4C9F">
          <w:rPr>
            <w:noProof/>
            <w:webHidden/>
          </w:rPr>
          <w:fldChar w:fldCharType="end"/>
        </w:r>
      </w:hyperlink>
    </w:p>
    <w:p w14:paraId="5FBA07F4" w14:textId="7BE4E483" w:rsidR="00DC4C9F" w:rsidRDefault="00D0372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001724" w:history="1">
        <w:r w:rsidR="00DC4C9F" w:rsidRPr="00495E5F">
          <w:rPr>
            <w:rStyle w:val="Hypertextovodkaz"/>
          </w:rPr>
          <w:t>6.</w:t>
        </w:r>
        <w:r w:rsidR="00DC4C9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SOUVISEJÍCÍ DOKUMENTY A PŘEDPISY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_Toc54001724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7</w:t>
        </w:r>
        <w:r w:rsidR="00DC4C9F">
          <w:rPr>
            <w:noProof/>
            <w:webHidden/>
          </w:rPr>
          <w:fldChar w:fldCharType="end"/>
        </w:r>
      </w:hyperlink>
    </w:p>
    <w:p w14:paraId="07B066EC" w14:textId="7ECFF22E" w:rsidR="00AD0C7B" w:rsidRDefault="00BD7E91" w:rsidP="008D03B9">
      <w:r>
        <w:fldChar w:fldCharType="end"/>
      </w:r>
    </w:p>
    <w:p w14:paraId="15692DC0" w14:textId="77777777" w:rsidR="00AD0C7B" w:rsidRDefault="00AD0C7B" w:rsidP="00DA1C67">
      <w:pPr>
        <w:pStyle w:val="Nadpisbezsl1-1"/>
        <w:outlineLvl w:val="0"/>
      </w:pPr>
      <w:bookmarkStart w:id="0" w:name="_Toc54001711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7F0CD332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7E5B993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0F2B10" w14:textId="77777777" w:rsidR="00AD0C7B" w:rsidRPr="00140433" w:rsidRDefault="0001744E" w:rsidP="00757290">
            <w:pPr>
              <w:pStyle w:val="Zkratky1"/>
            </w:pPr>
            <w:r>
              <w:t>SŽ</w:t>
            </w:r>
            <w:r w:rsidRPr="00140433">
              <w:t xml:space="preserve"> </w:t>
            </w:r>
            <w:r w:rsidR="000145C8" w:rsidRPr="00140433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F3CF12" w14:textId="77777777" w:rsidR="00AD0C7B" w:rsidRPr="00140433" w:rsidRDefault="0001744E" w:rsidP="0076790E">
            <w:pPr>
              <w:pStyle w:val="Zkratky2"/>
            </w:pPr>
            <w:r>
              <w:t>Správa železnic, státní organizace</w:t>
            </w:r>
          </w:p>
        </w:tc>
      </w:tr>
    </w:tbl>
    <w:p w14:paraId="1B129FBD" w14:textId="77777777" w:rsidR="007F3FB9" w:rsidRDefault="007F3FB9">
      <w:r>
        <w:rPr>
          <w:b/>
        </w:rPr>
        <w:br w:type="page"/>
      </w:r>
    </w:p>
    <w:p w14:paraId="3486E2C3" w14:textId="77777777" w:rsidR="00DF7BAA" w:rsidRDefault="00DF7BAA" w:rsidP="00DF7BAA">
      <w:pPr>
        <w:pStyle w:val="Nadpis2-1"/>
      </w:pPr>
      <w:bookmarkStart w:id="2" w:name="_Toc6410429"/>
      <w:bookmarkStart w:id="3" w:name="_Toc54001712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35B62928" w14:textId="77777777" w:rsidR="00DF7BAA" w:rsidRDefault="00DF7BAA" w:rsidP="00DF7BAA">
      <w:pPr>
        <w:pStyle w:val="Nadpis2-2"/>
      </w:pPr>
      <w:bookmarkStart w:id="9" w:name="_Toc6410430"/>
      <w:bookmarkStart w:id="10" w:name="_Toc54001713"/>
      <w:r>
        <w:t>Účel a rozsah předmětu Díla</w:t>
      </w:r>
      <w:bookmarkEnd w:id="9"/>
      <w:bookmarkEnd w:id="10"/>
    </w:p>
    <w:p w14:paraId="2855C6F6" w14:textId="677C06B6" w:rsidR="00DF7BAA" w:rsidRPr="00BB3C8A" w:rsidRDefault="00DF7BAA" w:rsidP="00BB3C8A">
      <w:pPr>
        <w:pStyle w:val="Text2-1"/>
        <w:numPr>
          <w:ilvl w:val="2"/>
          <w:numId w:val="6"/>
        </w:numPr>
      </w:pPr>
      <w:r w:rsidRPr="00B97547">
        <w:t xml:space="preserve">Předmětem díla je </w:t>
      </w:r>
      <w:r w:rsidR="00B97547" w:rsidRPr="00B97547">
        <w:t>úprava dosud nedokončených prostor ve výpravní budově. Příprava pro efektivní využití prostor a zlepšení ekonomické bilance budovy – komerční využití prostor.</w:t>
      </w:r>
    </w:p>
    <w:p w14:paraId="7DBEA6A0" w14:textId="5F05B7AE" w:rsidR="00DF7BAA" w:rsidRPr="00BB3C8A" w:rsidRDefault="00DF7BAA" w:rsidP="00737E48">
      <w:pPr>
        <w:pStyle w:val="Text2-1"/>
      </w:pPr>
      <w:r w:rsidRPr="00BB3C8A">
        <w:t xml:space="preserve">Rozsah Díla </w:t>
      </w:r>
      <w:r w:rsidR="008E7C3A" w:rsidRPr="00BB3C8A">
        <w:t>je stanoven projektovou dokumentací „</w:t>
      </w:r>
      <w:r w:rsidR="00BB3C8A" w:rsidRPr="00BB3C8A">
        <w:t>Třinec ON – úprava nevyužitých prostor</w:t>
      </w:r>
      <w:r w:rsidR="008E7C3A" w:rsidRPr="00BB3C8A">
        <w:t xml:space="preserve">“. Z této vyplývá, že dojde k instalaci </w:t>
      </w:r>
      <w:r w:rsidR="00BB3C8A" w:rsidRPr="00BB3C8A">
        <w:t>provedení rozvodů zdravotechniky, zřízení sociálních zařízení, vzduchotechnika, úprava rozvodů vytápění, rozvody elektroinstalací, dokončení vnitřních omítek, podlahy vč. nášlapných ploch.</w:t>
      </w:r>
    </w:p>
    <w:p w14:paraId="160B5179" w14:textId="77777777" w:rsidR="00DF7BAA" w:rsidRDefault="00DF7BAA" w:rsidP="00DF7BAA">
      <w:pPr>
        <w:pStyle w:val="Nadpis2-2"/>
      </w:pPr>
      <w:bookmarkStart w:id="11" w:name="_Toc6410431"/>
      <w:bookmarkStart w:id="12" w:name="_Toc54001714"/>
      <w:r>
        <w:t>Umístění stavby</w:t>
      </w:r>
      <w:bookmarkEnd w:id="11"/>
      <w:bookmarkEnd w:id="12"/>
    </w:p>
    <w:p w14:paraId="534F4B52" w14:textId="1F10CF3C" w:rsidR="008614BA" w:rsidRPr="00471570" w:rsidRDefault="008614BA" w:rsidP="008614BA">
      <w:pPr>
        <w:pStyle w:val="Text2-1"/>
        <w:numPr>
          <w:ilvl w:val="2"/>
          <w:numId w:val="6"/>
        </w:numPr>
        <w:tabs>
          <w:tab w:val="clear" w:pos="737"/>
          <w:tab w:val="num" w:pos="879"/>
        </w:tabs>
        <w:ind w:left="879"/>
      </w:pPr>
      <w:r>
        <w:t xml:space="preserve">Stavba bude probíhat: Výpravní </w:t>
      </w:r>
      <w:r w:rsidRPr="00471570">
        <w:t xml:space="preserve">budova žst. Třinec, </w:t>
      </w:r>
      <w:r w:rsidR="00471570" w:rsidRPr="00471570">
        <w:t>Nádražní</w:t>
      </w:r>
      <w:r w:rsidRPr="00471570">
        <w:t xml:space="preserve"> 348, Moravskoslezský kraj.</w:t>
      </w:r>
    </w:p>
    <w:p w14:paraId="2EC9F96E" w14:textId="3D4CC492" w:rsidR="00B016D0" w:rsidRPr="00471570" w:rsidRDefault="008614BA" w:rsidP="00B016D0">
      <w:pPr>
        <w:pStyle w:val="Text2-1"/>
        <w:numPr>
          <w:ilvl w:val="2"/>
          <w:numId w:val="6"/>
        </w:numPr>
        <w:tabs>
          <w:tab w:val="clear" w:pos="737"/>
          <w:tab w:val="num" w:pos="879"/>
        </w:tabs>
        <w:ind w:left="879"/>
      </w:pPr>
      <w:r w:rsidRPr="00471570">
        <w:t xml:space="preserve">Parc. č. st. </w:t>
      </w:r>
      <w:r w:rsidR="00471570" w:rsidRPr="00471570">
        <w:t xml:space="preserve">2263 </w:t>
      </w:r>
      <w:r w:rsidRPr="00471570">
        <w:t xml:space="preserve">v k. ú.: </w:t>
      </w:r>
      <w:r w:rsidR="00471570" w:rsidRPr="00471570">
        <w:t>Třinec</w:t>
      </w:r>
      <w:r w:rsidRPr="00471570">
        <w:t xml:space="preserve"> (</w:t>
      </w:r>
      <w:r w:rsidR="00471570" w:rsidRPr="00471570">
        <w:t>770892</w:t>
      </w:r>
      <w:r w:rsidRPr="00471570">
        <w:t>)</w:t>
      </w:r>
    </w:p>
    <w:p w14:paraId="22C7E7DF" w14:textId="77777777" w:rsidR="00DF7BAA" w:rsidRDefault="00DF7BAA" w:rsidP="00DF7BAA">
      <w:pPr>
        <w:pStyle w:val="Nadpis2-1"/>
      </w:pPr>
      <w:bookmarkStart w:id="13" w:name="_Toc6410432"/>
      <w:bookmarkStart w:id="14" w:name="_Toc54001715"/>
      <w:r>
        <w:t>PŘEHLED VÝCHOZÍCH PODKLADŮ</w:t>
      </w:r>
      <w:bookmarkEnd w:id="13"/>
      <w:bookmarkEnd w:id="14"/>
    </w:p>
    <w:p w14:paraId="6A171A7E" w14:textId="77777777" w:rsidR="00DF7BAA" w:rsidRPr="00BB3C8A" w:rsidRDefault="00DF7BAA" w:rsidP="00DF7BAA">
      <w:pPr>
        <w:pStyle w:val="Nadpis2-2"/>
      </w:pPr>
      <w:bookmarkStart w:id="15" w:name="_Toc6410433"/>
      <w:bookmarkStart w:id="16" w:name="_Toc54001716"/>
      <w:r w:rsidRPr="00BB3C8A">
        <w:t>Projektová dokumentace</w:t>
      </w:r>
      <w:bookmarkEnd w:id="15"/>
      <w:bookmarkEnd w:id="16"/>
    </w:p>
    <w:p w14:paraId="136054BA" w14:textId="533047D7" w:rsidR="00DF7BAA" w:rsidRPr="00BB3C8A" w:rsidRDefault="00BB3C8A" w:rsidP="00DF7BAA">
      <w:pPr>
        <w:pStyle w:val="Text2-1"/>
      </w:pPr>
      <w:r w:rsidRPr="00BB3C8A">
        <w:t xml:space="preserve">Projektová dokumentace </w:t>
      </w:r>
      <w:r w:rsidR="005E49D7" w:rsidRPr="00BB3C8A">
        <w:t xml:space="preserve">byla </w:t>
      </w:r>
      <w:r w:rsidR="00B232A2">
        <w:t xml:space="preserve">zpracována </w:t>
      </w:r>
      <w:r w:rsidRPr="00BB3C8A">
        <w:t>projektantem Ing. Pavlem Krátkým</w:t>
      </w:r>
      <w:r w:rsidR="005E49D7" w:rsidRPr="00BB3C8A">
        <w:t xml:space="preserve">, </w:t>
      </w:r>
      <w:r w:rsidRPr="00BB3C8A">
        <w:t>10</w:t>
      </w:r>
      <w:r w:rsidR="005E49D7" w:rsidRPr="00BB3C8A">
        <w:t>/2020</w:t>
      </w:r>
      <w:r w:rsidR="00051946" w:rsidRPr="00BB3C8A">
        <w:rPr>
          <w:rFonts w:asciiTheme="minorHAnsi" w:hAnsiTheme="minorHAnsi"/>
        </w:rPr>
        <w:t>.</w:t>
      </w:r>
    </w:p>
    <w:p w14:paraId="719F2E32" w14:textId="77777777" w:rsidR="00DF7BAA" w:rsidRDefault="00DF7BAA" w:rsidP="00DF7BAA">
      <w:pPr>
        <w:pStyle w:val="Nadpis2-2"/>
      </w:pPr>
      <w:bookmarkStart w:id="17" w:name="_Toc6410434"/>
      <w:bookmarkStart w:id="18" w:name="_Toc54001717"/>
      <w:r>
        <w:t>Související dokumentace</w:t>
      </w:r>
      <w:bookmarkEnd w:id="17"/>
      <w:bookmarkEnd w:id="18"/>
    </w:p>
    <w:p w14:paraId="4983D030" w14:textId="21AFBA07" w:rsidR="005E0006" w:rsidRPr="00280823" w:rsidRDefault="005E0006" w:rsidP="00280823">
      <w:pPr>
        <w:pStyle w:val="Text2-1"/>
      </w:pPr>
      <w:bookmarkStart w:id="19" w:name="_Toc6410435"/>
      <w:bookmarkStart w:id="20" w:name="_Toc54001718"/>
      <w:r w:rsidRPr="00280823">
        <w:t xml:space="preserve">Stavební povolení </w:t>
      </w:r>
      <w:r w:rsidR="00280823">
        <w:t xml:space="preserve">č. j. DUCR-52346/13/Km </w:t>
      </w:r>
      <w:r w:rsidRPr="00280823">
        <w:t>je vydáno z předchozí realizované stavby „Přestupní terminál Třinec“ ze dne 26. 9. 2013, s na</w:t>
      </w:r>
      <w:r w:rsidR="00280823">
        <w:t xml:space="preserve">bytím právní moci 26. 10. 2013. </w:t>
      </w:r>
      <w:r w:rsidR="00D0372A">
        <w:t>R</w:t>
      </w:r>
      <w:r w:rsidR="00280823">
        <w:t>ozhodnutí</w:t>
      </w:r>
      <w:r w:rsidR="00D0372A">
        <w:t xml:space="preserve"> o změně stavby dráhy před dokončením</w:t>
      </w:r>
      <w:r w:rsidR="00280823">
        <w:t xml:space="preserve"> č. j. </w:t>
      </w:r>
      <w:r w:rsidR="00280823" w:rsidRPr="004F367A">
        <w:t xml:space="preserve">DUCR-25590/21/Vs </w:t>
      </w:r>
      <w:r w:rsidR="00280823">
        <w:t>bylo vydáno dne 7. 5. 2021.</w:t>
      </w:r>
    </w:p>
    <w:p w14:paraId="08B35197" w14:textId="77777777" w:rsidR="00DF7BAA" w:rsidRDefault="00DF7BAA" w:rsidP="00DF7BAA">
      <w:pPr>
        <w:pStyle w:val="Nadpis2-1"/>
      </w:pPr>
      <w:r>
        <w:t>KOORDINACE S JINÝMI STAVBAMI</w:t>
      </w:r>
      <w:bookmarkEnd w:id="19"/>
      <w:bookmarkEnd w:id="20"/>
      <w:r>
        <w:t xml:space="preserve"> </w:t>
      </w:r>
    </w:p>
    <w:p w14:paraId="624DBD5C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5B666966" w14:textId="77777777" w:rsidR="00DF7BAA" w:rsidRDefault="00DF7BAA" w:rsidP="00DF7BAA">
      <w:pPr>
        <w:pStyle w:val="Nadpis2-1"/>
      </w:pPr>
      <w:bookmarkStart w:id="21" w:name="_Toc6410436"/>
      <w:bookmarkStart w:id="22" w:name="_Toc54001719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14:paraId="02E649B2" w14:textId="77777777" w:rsidR="00DF7BAA" w:rsidRDefault="00DF7BAA" w:rsidP="00DF7BAA">
      <w:pPr>
        <w:pStyle w:val="Nadpis2-2"/>
      </w:pPr>
      <w:bookmarkStart w:id="23" w:name="_Toc6410437"/>
      <w:bookmarkStart w:id="24" w:name="_Toc54001720"/>
      <w:r>
        <w:t>Všeobecně</w:t>
      </w:r>
      <w:bookmarkEnd w:id="23"/>
      <w:bookmarkEnd w:id="24"/>
    </w:p>
    <w:p w14:paraId="57A5EAC2" w14:textId="271738FF" w:rsidR="00DF7BAA" w:rsidRDefault="000B03B5" w:rsidP="00DF7BAA">
      <w:pPr>
        <w:pStyle w:val="Text2-1"/>
      </w:pPr>
      <w:r>
        <w:t xml:space="preserve">Po celou dobu stavby bude nutná součinnost zhotovitele stavby a nájemců komerčních prostor, zaměstnanců </w:t>
      </w:r>
      <w:r w:rsidR="00E660D9">
        <w:t>Správy železnic</w:t>
      </w:r>
      <w:r>
        <w:t xml:space="preserve"> a ČD. </w:t>
      </w:r>
    </w:p>
    <w:p w14:paraId="132BFE0E" w14:textId="77777777" w:rsidR="00757290" w:rsidRPr="003A17A8" w:rsidRDefault="00757290" w:rsidP="00757290">
      <w:pPr>
        <w:pStyle w:val="Text2-1"/>
        <w:numPr>
          <w:ilvl w:val="2"/>
          <w:numId w:val="6"/>
        </w:numPr>
      </w:pPr>
      <w:r w:rsidRPr="003A17A8">
        <w:t>Pro přesnou identifikaci podzemních sítí, metalických a optických kabelů, kanalizace, vody a plynu budou použity RFID markery. Mohou se používat pouze markery, u kterých není nutné při ukládání dbát na jejich orientaci. V rámci jednotného značení v sítích SŽ je nutné zachovat standardní barevné značení, které doporučují výrobci.</w:t>
      </w:r>
    </w:p>
    <w:p w14:paraId="19BE26F2" w14:textId="77777777" w:rsidR="003A17A8" w:rsidRPr="003A17A8" w:rsidRDefault="003A17A8" w:rsidP="00757290">
      <w:pPr>
        <w:pStyle w:val="Text2-1"/>
        <w:numPr>
          <w:ilvl w:val="2"/>
          <w:numId w:val="6"/>
        </w:numPr>
      </w:pPr>
      <w:r w:rsidRPr="003A17A8">
        <w:t>Požadavky na použití markerů jsou stanovené v projektové dokumentaci.</w:t>
      </w:r>
    </w:p>
    <w:p w14:paraId="2EE8CCCF" w14:textId="77777777" w:rsidR="00DF7BAA" w:rsidRDefault="00DF7BAA" w:rsidP="00DF7BAA">
      <w:pPr>
        <w:pStyle w:val="Nadpis2-2"/>
      </w:pPr>
      <w:bookmarkStart w:id="25" w:name="_Toc6410438"/>
      <w:bookmarkStart w:id="26" w:name="_Toc54001721"/>
      <w:r>
        <w:t>Doklady překládané zhotovitelem</w:t>
      </w:r>
      <w:bookmarkEnd w:id="25"/>
      <w:bookmarkEnd w:id="26"/>
    </w:p>
    <w:p w14:paraId="3405F233" w14:textId="77777777" w:rsidR="00DF7BAA" w:rsidRPr="00A7168C" w:rsidRDefault="00DF7BAA" w:rsidP="00DF7BAA">
      <w:pPr>
        <w:pStyle w:val="Text2-1"/>
      </w:pPr>
      <w:r w:rsidRPr="00A7168C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14:paraId="63294F90" w14:textId="77777777" w:rsidR="00DF7BAA" w:rsidRDefault="00A7168C" w:rsidP="00A7168C">
      <w:pPr>
        <w:pStyle w:val="Odrka1-1"/>
      </w:pPr>
      <w:r w:rsidRPr="00A7168C">
        <w:t>B-02 – minimální 2 vedoucí prací / pracovníci na budovách</w:t>
      </w:r>
      <w:r w:rsidR="00DF7BAA" w:rsidRPr="00A7168C">
        <w:t xml:space="preserve"> </w:t>
      </w:r>
    </w:p>
    <w:p w14:paraId="42DE3AA1" w14:textId="77777777" w:rsidR="00B1062E" w:rsidRDefault="00B1062E" w:rsidP="00DF7BAA">
      <w:pPr>
        <w:pStyle w:val="Text2-1"/>
      </w:pPr>
      <w:r w:rsidRPr="00DC3F88">
        <w:lastRenderedPageBreak/>
        <w:t>Další zhotovitelem předkládané doklady před zahájením prací na železniční dopravní cestě jsou uvedeny v dalších částech zadávací dokumentace</w:t>
      </w:r>
      <w:r>
        <w:t>.</w:t>
      </w:r>
    </w:p>
    <w:p w14:paraId="627BFADE" w14:textId="77777777" w:rsidR="00DF7BAA" w:rsidRDefault="00DF7BAA" w:rsidP="00DF7BAA">
      <w:pPr>
        <w:pStyle w:val="Text2-1"/>
      </w:pPr>
      <w:r w:rsidRPr="00A7168C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49540252" w14:textId="77777777" w:rsidR="00DF7BAA" w:rsidRDefault="00DF7BAA" w:rsidP="00DF7BAA">
      <w:pPr>
        <w:pStyle w:val="Nadpis2-2"/>
      </w:pPr>
      <w:bookmarkStart w:id="27" w:name="_Toc6410439"/>
      <w:bookmarkStart w:id="28" w:name="_Toc54001722"/>
      <w:r>
        <w:t>Dokumentace zhotovitele pro stavbu</w:t>
      </w:r>
      <w:bookmarkEnd w:id="27"/>
      <w:bookmarkEnd w:id="28"/>
    </w:p>
    <w:p w14:paraId="36E9DE4E" w14:textId="3A1A385C" w:rsidR="00DF7BAA" w:rsidRPr="002C431D" w:rsidRDefault="00130E62" w:rsidP="004E01CB">
      <w:pPr>
        <w:pStyle w:val="Text2-1"/>
      </w:pPr>
      <w:r w:rsidRPr="002C431D">
        <w:t>Součástí předmětu díla je i vyhotovení Realizační dokumentace stav</w:t>
      </w:r>
      <w:r w:rsidR="004E01CB" w:rsidRPr="002C431D">
        <w:t>by (výrobní, montážní, dílenské</w:t>
      </w:r>
      <w:r w:rsidRPr="002C431D">
        <w:t>), která v případě potřeby rozpracovává podrobně zadávací dokumentaci (PDPS) dle přílohy č. 4 vyhlášky č. 146/2008 Sb. o rozsahu a obsahu projektové d</w:t>
      </w:r>
      <w:r w:rsidR="00E03B03" w:rsidRPr="002C431D">
        <w:t>okumentace dopravních staveb, v </w:t>
      </w:r>
      <w:r w:rsidRPr="002C431D">
        <w:t>platném znění, příslušných TKP Staveb státních drah a Směrnice GŘ č. 11/2006 Dokumentace pro přípravu staveb na železničních drahách celostátních a regionálních, v platném znění (</w:t>
      </w:r>
      <w:r w:rsidR="004E01CB" w:rsidRPr="002C431D">
        <w:t xml:space="preserve">dále „Směrnice GŘ </w:t>
      </w:r>
      <w:r w:rsidR="00280823">
        <w:br/>
      </w:r>
      <w:r w:rsidR="004E01CB" w:rsidRPr="002C431D">
        <w:t xml:space="preserve">č. 11/2006“). </w:t>
      </w:r>
    </w:p>
    <w:p w14:paraId="450219FF" w14:textId="77777777"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</w:t>
      </w:r>
      <w:r w:rsidR="002C431D">
        <w:t>uhlasené v připomínkovém řízení.</w:t>
      </w:r>
    </w:p>
    <w:p w14:paraId="7CAC264C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73462991" w14:textId="77777777" w:rsidR="00DF7BAA" w:rsidRPr="002C431D" w:rsidRDefault="00DF7BAA" w:rsidP="002C431D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  <w:r w:rsidR="002C431D">
        <w:t>.</w:t>
      </w:r>
    </w:p>
    <w:p w14:paraId="65B59888" w14:textId="77777777" w:rsidR="00DF7BAA" w:rsidRDefault="00DF7BAA" w:rsidP="00DF7BAA">
      <w:pPr>
        <w:pStyle w:val="Nadpis2-1"/>
      </w:pPr>
      <w:bookmarkStart w:id="29" w:name="_Toc6410460"/>
      <w:bookmarkStart w:id="30" w:name="_Toc54001723"/>
      <w:r w:rsidRPr="00EC2E51">
        <w:t>ORGANIZACE</w:t>
      </w:r>
      <w:r>
        <w:t xml:space="preserve"> VÝSTAVBY, VÝLUKY</w:t>
      </w:r>
      <w:bookmarkEnd w:id="29"/>
      <w:bookmarkEnd w:id="30"/>
    </w:p>
    <w:p w14:paraId="02A9992A" w14:textId="77777777" w:rsidR="00DF7BAA" w:rsidRPr="002C431D" w:rsidRDefault="00DF7BAA" w:rsidP="00DF7BAA">
      <w:pPr>
        <w:pStyle w:val="Text2-1"/>
      </w:pPr>
      <w:r w:rsidRPr="002C431D">
        <w:t>Rozhodující milníky doporučeného časového harmonogramu: Při zpracování harmonogramu je nutné vycházet z jednotlivých sta</w:t>
      </w:r>
      <w:r w:rsidR="002C431D" w:rsidRPr="002C431D">
        <w:t>vebních postupů uvedených v ZOV.</w:t>
      </w:r>
    </w:p>
    <w:p w14:paraId="3F65881F" w14:textId="77777777" w:rsidR="00DF7BAA" w:rsidRPr="002C431D" w:rsidRDefault="00DF7BAA" w:rsidP="00DF7BAA">
      <w:pPr>
        <w:pStyle w:val="Text2-1"/>
      </w:pPr>
      <w:r w:rsidRPr="002C431D">
        <w:t>V harmonogramu postupu prací je nutno dle ZOV v Projektové dokumentaci respektovat zejména následující požadavky a termíny:</w:t>
      </w:r>
    </w:p>
    <w:p w14:paraId="3523D904" w14:textId="6A08C1B6" w:rsidR="00DF7BAA" w:rsidRDefault="00DF7BAA" w:rsidP="0047647C">
      <w:pPr>
        <w:pStyle w:val="Odrka1-1"/>
        <w:numPr>
          <w:ilvl w:val="0"/>
          <w:numId w:val="4"/>
        </w:numPr>
        <w:spacing w:after="60"/>
      </w:pPr>
      <w:r w:rsidRPr="002C431D">
        <w:t>termín zahájení a ukončení stavby</w:t>
      </w:r>
    </w:p>
    <w:p w14:paraId="3B49516F" w14:textId="77777777" w:rsidR="00DF7BAA" w:rsidRPr="002C431D" w:rsidRDefault="00DF7BAA" w:rsidP="00DF7BAA">
      <w:pPr>
        <w:pStyle w:val="Text2-1"/>
      </w:pPr>
      <w:r w:rsidRPr="002C431D">
        <w:t xml:space="preserve">Závazným pro </w:t>
      </w:r>
      <w:r w:rsidR="00DB58AA" w:rsidRPr="002C431D">
        <w:t>Z</w:t>
      </w:r>
      <w:r w:rsidRPr="002C431D">
        <w:t>hotovitele jsou termíny a rozsah výluk, které jsou uvedeny v následující tabulce:</w:t>
      </w:r>
    </w:p>
    <w:tbl>
      <w:tblPr>
        <w:tblStyle w:val="Mkatabulky"/>
        <w:tblW w:w="8131" w:type="dxa"/>
        <w:tblInd w:w="709" w:type="dxa"/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DF7BAA" w:rsidRPr="002C431D" w14:paraId="400698D7" w14:textId="77777777" w:rsidTr="00DF7BAA">
        <w:tc>
          <w:tcPr>
            <w:tcW w:w="1327" w:type="dxa"/>
          </w:tcPr>
          <w:p w14:paraId="06C5E725" w14:textId="77777777" w:rsidR="00DF7BAA" w:rsidRPr="002C431D" w:rsidRDefault="00DF7BAA" w:rsidP="00DF7BAA">
            <w:pPr>
              <w:pStyle w:val="Tabulka"/>
              <w:rPr>
                <w:b/>
              </w:rPr>
            </w:pPr>
            <w:r w:rsidRPr="002C431D">
              <w:rPr>
                <w:b/>
              </w:rPr>
              <w:t>Postup</w:t>
            </w:r>
          </w:p>
        </w:tc>
        <w:tc>
          <w:tcPr>
            <w:tcW w:w="3118" w:type="dxa"/>
          </w:tcPr>
          <w:p w14:paraId="7141256B" w14:textId="77777777" w:rsidR="00DF7BAA" w:rsidRPr="002C431D" w:rsidRDefault="00DF7BAA" w:rsidP="00DF7BAA">
            <w:pPr>
              <w:pStyle w:val="Tabulka"/>
              <w:rPr>
                <w:b/>
              </w:rPr>
            </w:pPr>
            <w:r w:rsidRPr="002C431D">
              <w:rPr>
                <w:b/>
              </w:rPr>
              <w:t>Činnosti</w:t>
            </w:r>
          </w:p>
        </w:tc>
        <w:tc>
          <w:tcPr>
            <w:tcW w:w="1701" w:type="dxa"/>
          </w:tcPr>
          <w:p w14:paraId="6B4575CD" w14:textId="77777777" w:rsidR="00DF7BAA" w:rsidRPr="002C431D" w:rsidRDefault="00DF7BAA" w:rsidP="00DF7BAA">
            <w:pPr>
              <w:pStyle w:val="Tabulka"/>
              <w:jc w:val="center"/>
              <w:rPr>
                <w:b/>
              </w:rPr>
            </w:pPr>
            <w:r w:rsidRPr="002C431D">
              <w:rPr>
                <w:b/>
              </w:rPr>
              <w:t>Typ výluky</w:t>
            </w:r>
          </w:p>
        </w:tc>
        <w:tc>
          <w:tcPr>
            <w:tcW w:w="1985" w:type="dxa"/>
          </w:tcPr>
          <w:p w14:paraId="62C52418" w14:textId="77777777" w:rsidR="00DF7BAA" w:rsidRPr="002C431D" w:rsidRDefault="00DF7BAA" w:rsidP="00DF7BAA">
            <w:pPr>
              <w:pStyle w:val="Tabulka"/>
              <w:rPr>
                <w:b/>
              </w:rPr>
            </w:pPr>
            <w:r w:rsidRPr="002C431D">
              <w:rPr>
                <w:b/>
              </w:rPr>
              <w:t>Doba trvání</w:t>
            </w:r>
          </w:p>
        </w:tc>
      </w:tr>
      <w:tr w:rsidR="00DF7BAA" w:rsidRPr="007E040C" w14:paraId="33E150A4" w14:textId="77777777" w:rsidTr="00DF7BAA">
        <w:tc>
          <w:tcPr>
            <w:tcW w:w="1327" w:type="dxa"/>
          </w:tcPr>
          <w:p w14:paraId="58224E10" w14:textId="77777777" w:rsidR="00DF7BAA" w:rsidRPr="002C431D" w:rsidRDefault="00DF7BAA" w:rsidP="00DF7BAA">
            <w:pPr>
              <w:pStyle w:val="Tabulka"/>
            </w:pPr>
          </w:p>
        </w:tc>
        <w:tc>
          <w:tcPr>
            <w:tcW w:w="3118" w:type="dxa"/>
          </w:tcPr>
          <w:p w14:paraId="3719B379" w14:textId="77777777" w:rsidR="00DF7BAA" w:rsidRPr="002C431D" w:rsidRDefault="00DF7BAA" w:rsidP="00DF7BAA">
            <w:pPr>
              <w:pStyle w:val="Tabulka"/>
            </w:pPr>
            <w:r w:rsidRPr="002C431D">
              <w:t>Zahájení stavby</w:t>
            </w:r>
          </w:p>
        </w:tc>
        <w:tc>
          <w:tcPr>
            <w:tcW w:w="1701" w:type="dxa"/>
          </w:tcPr>
          <w:p w14:paraId="700705DE" w14:textId="77777777" w:rsidR="00DF7BAA" w:rsidRPr="00D0372A" w:rsidRDefault="00381840" w:rsidP="00DF7BAA">
            <w:pPr>
              <w:pStyle w:val="Tabulka"/>
              <w:jc w:val="center"/>
            </w:pPr>
            <w:r w:rsidRPr="00D0372A">
              <w:t>Bez výluky</w:t>
            </w:r>
          </w:p>
        </w:tc>
        <w:tc>
          <w:tcPr>
            <w:tcW w:w="1985" w:type="dxa"/>
          </w:tcPr>
          <w:p w14:paraId="5878F87A" w14:textId="5877079A" w:rsidR="00DF7BAA" w:rsidRPr="00D0372A" w:rsidRDefault="00DF69EE" w:rsidP="00DF7BAA">
            <w:pPr>
              <w:pStyle w:val="Tabulka"/>
            </w:pPr>
            <w:r w:rsidRPr="00D0372A">
              <w:t>červen</w:t>
            </w:r>
            <w:r w:rsidR="00280823" w:rsidRPr="00D0372A">
              <w:t>ec</w:t>
            </w:r>
            <w:r w:rsidR="00E660D9" w:rsidRPr="00D0372A">
              <w:t xml:space="preserve"> </w:t>
            </w:r>
            <w:r w:rsidR="00280823" w:rsidRPr="00D0372A">
              <w:t>2021</w:t>
            </w:r>
          </w:p>
        </w:tc>
      </w:tr>
      <w:tr w:rsidR="00DF7BAA" w:rsidRPr="007E040C" w14:paraId="144950E6" w14:textId="77777777" w:rsidTr="00DF7BAA">
        <w:tc>
          <w:tcPr>
            <w:tcW w:w="1327" w:type="dxa"/>
          </w:tcPr>
          <w:p w14:paraId="65DF61C4" w14:textId="77777777" w:rsidR="00DF7BAA" w:rsidRPr="007E040C" w:rsidRDefault="00DF7BAA" w:rsidP="00DF7BAA">
            <w:pPr>
              <w:pStyle w:val="Tabulka"/>
              <w:rPr>
                <w:highlight w:val="green"/>
              </w:rPr>
            </w:pPr>
          </w:p>
        </w:tc>
        <w:tc>
          <w:tcPr>
            <w:tcW w:w="3118" w:type="dxa"/>
          </w:tcPr>
          <w:p w14:paraId="45B69344" w14:textId="77777777" w:rsidR="00DF7BAA" w:rsidRPr="007E040C" w:rsidRDefault="00381840" w:rsidP="00DF7BAA">
            <w:pPr>
              <w:pStyle w:val="Tabulka"/>
              <w:rPr>
                <w:highlight w:val="green"/>
              </w:rPr>
            </w:pPr>
            <w:r w:rsidRPr="00381840">
              <w:t>Dokončení stavebních prací</w:t>
            </w:r>
          </w:p>
        </w:tc>
        <w:tc>
          <w:tcPr>
            <w:tcW w:w="1701" w:type="dxa"/>
          </w:tcPr>
          <w:p w14:paraId="083C633C" w14:textId="77777777" w:rsidR="00DF7BAA" w:rsidRPr="00D0372A" w:rsidRDefault="00DF7BAA" w:rsidP="00DF7BAA">
            <w:pPr>
              <w:pStyle w:val="Tabulka"/>
              <w:jc w:val="center"/>
            </w:pPr>
            <w:r w:rsidRPr="00D0372A">
              <w:t>Bez výluky</w:t>
            </w:r>
          </w:p>
        </w:tc>
        <w:tc>
          <w:tcPr>
            <w:tcW w:w="1985" w:type="dxa"/>
          </w:tcPr>
          <w:p w14:paraId="0FB7ABDF" w14:textId="130DB701" w:rsidR="00DF7BAA" w:rsidRPr="00D0372A" w:rsidRDefault="00280823" w:rsidP="00280823">
            <w:pPr>
              <w:pStyle w:val="Tabulka"/>
            </w:pPr>
            <w:r w:rsidRPr="00D0372A">
              <w:t xml:space="preserve">6 </w:t>
            </w:r>
            <w:r w:rsidR="00381840" w:rsidRPr="00D0372A">
              <w:t>měsíců ode dne zahájení stavebních prací</w:t>
            </w:r>
          </w:p>
        </w:tc>
      </w:tr>
      <w:tr w:rsidR="00DF7BAA" w:rsidRPr="007E040C" w14:paraId="35BD5E7F" w14:textId="77777777" w:rsidTr="00DF7BAA">
        <w:tc>
          <w:tcPr>
            <w:tcW w:w="1327" w:type="dxa"/>
          </w:tcPr>
          <w:p w14:paraId="5BB13496" w14:textId="77777777" w:rsidR="00DF7BAA" w:rsidRPr="007E040C" w:rsidRDefault="00DF7BAA" w:rsidP="00DF7BAA">
            <w:pPr>
              <w:pStyle w:val="Tabulka"/>
              <w:rPr>
                <w:highlight w:val="green"/>
              </w:rPr>
            </w:pPr>
          </w:p>
        </w:tc>
        <w:tc>
          <w:tcPr>
            <w:tcW w:w="3118" w:type="dxa"/>
          </w:tcPr>
          <w:p w14:paraId="383B3EB3" w14:textId="77777777" w:rsidR="00DF7BAA" w:rsidRPr="007E040C" w:rsidRDefault="00381840" w:rsidP="00DF7BAA">
            <w:pPr>
              <w:pStyle w:val="Tabulka"/>
              <w:rPr>
                <w:highlight w:val="green"/>
              </w:rPr>
            </w:pPr>
            <w:r w:rsidRPr="00381840">
              <w:t>ukončení Díla</w:t>
            </w:r>
          </w:p>
        </w:tc>
        <w:tc>
          <w:tcPr>
            <w:tcW w:w="1701" w:type="dxa"/>
          </w:tcPr>
          <w:p w14:paraId="53E13B8F" w14:textId="77777777" w:rsidR="00DF7BAA" w:rsidRPr="00D0372A" w:rsidRDefault="00381840" w:rsidP="00DF7BAA">
            <w:pPr>
              <w:pStyle w:val="Tabulka"/>
              <w:jc w:val="center"/>
            </w:pPr>
            <w:r w:rsidRPr="00D0372A">
              <w:t>Bez výluky</w:t>
            </w:r>
          </w:p>
        </w:tc>
        <w:tc>
          <w:tcPr>
            <w:tcW w:w="1985" w:type="dxa"/>
          </w:tcPr>
          <w:p w14:paraId="02B6B153" w14:textId="18BD01DB" w:rsidR="00DF7BAA" w:rsidRPr="00D0372A" w:rsidRDefault="00280823" w:rsidP="009C78D1">
            <w:pPr>
              <w:pStyle w:val="Tabulka"/>
            </w:pPr>
            <w:r w:rsidRPr="00D0372A">
              <w:t>8</w:t>
            </w:r>
            <w:r w:rsidR="00381840" w:rsidRPr="00D0372A">
              <w:t xml:space="preserve"> měsíců ode dne zahájení stavebních prací (viz smlouva)*</w:t>
            </w:r>
          </w:p>
        </w:tc>
      </w:tr>
    </w:tbl>
    <w:p w14:paraId="3CDF0176" w14:textId="77777777" w:rsidR="00DF7BAA" w:rsidRDefault="00DF7BAA" w:rsidP="00DF7BAA">
      <w:pPr>
        <w:pStyle w:val="Textbezslovn"/>
      </w:pPr>
      <w:r w:rsidRPr="00381840">
        <w:t>*) Datum ukončení stavby je závislé na termínu zahájení stavebních prací</w:t>
      </w:r>
    </w:p>
    <w:p w14:paraId="5247D5BF" w14:textId="77777777" w:rsidR="00DF7BAA" w:rsidRDefault="00DF7BAA" w:rsidP="00DF7BAA">
      <w:pPr>
        <w:pStyle w:val="Nadpis2-1"/>
      </w:pPr>
      <w:bookmarkStart w:id="31" w:name="_Toc6410461"/>
      <w:bookmarkStart w:id="32" w:name="_Toc54001724"/>
      <w:r w:rsidRPr="00EC2E51">
        <w:t>SOUVISEJÍCÍ</w:t>
      </w:r>
      <w:r>
        <w:t xml:space="preserve"> DOKUMENTY A PŘEDPISY</w:t>
      </w:r>
      <w:bookmarkEnd w:id="31"/>
      <w:bookmarkEnd w:id="32"/>
    </w:p>
    <w:p w14:paraId="28DFDDF9" w14:textId="489067DE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66ED952D" w14:textId="0DDBFA6D" w:rsidR="007D6F90" w:rsidRDefault="007D6F90" w:rsidP="007D6F90">
      <w:pPr>
        <w:pStyle w:val="Nadpis2-2"/>
        <w:numPr>
          <w:ilvl w:val="0"/>
          <w:numId w:val="0"/>
        </w:numPr>
        <w:ind w:left="737"/>
      </w:pPr>
    </w:p>
    <w:p w14:paraId="4B22E82F" w14:textId="6BA1888F" w:rsidR="007D6F90" w:rsidRDefault="007D6F90" w:rsidP="007D6F90">
      <w:pPr>
        <w:pStyle w:val="Nadpis2-2"/>
        <w:numPr>
          <w:ilvl w:val="0"/>
          <w:numId w:val="0"/>
        </w:numPr>
        <w:ind w:left="737"/>
      </w:pPr>
    </w:p>
    <w:p w14:paraId="2F00B87B" w14:textId="77777777" w:rsidR="007D6F90" w:rsidRPr="007D6F90" w:rsidRDefault="007D6F90" w:rsidP="007D6F90">
      <w:pPr>
        <w:pStyle w:val="Text2-1"/>
        <w:numPr>
          <w:ilvl w:val="0"/>
          <w:numId w:val="0"/>
        </w:numPr>
        <w:ind w:left="737"/>
      </w:pPr>
    </w:p>
    <w:p w14:paraId="4A32CC70" w14:textId="35BEB083" w:rsidR="007D6F90" w:rsidRPr="007D6F90" w:rsidRDefault="00DF7BAA" w:rsidP="00722A30">
      <w:pPr>
        <w:pStyle w:val="Text2-1"/>
        <w:spacing w:after="0"/>
        <w:rPr>
          <w:b/>
        </w:rPr>
      </w:pPr>
      <w:r>
        <w:lastRenderedPageBreak/>
        <w:t>Objednatel umožňuje Zhotoviteli přístup ke všem svým interním předpisům a d</w:t>
      </w:r>
      <w:r w:rsidR="007D6F90">
        <w:t>okumentům následujícím způsobem:</w:t>
      </w:r>
    </w:p>
    <w:p w14:paraId="6F8653C0" w14:textId="77777777" w:rsidR="007D6F90" w:rsidRDefault="007D6F90" w:rsidP="007D6F90">
      <w:pPr>
        <w:pStyle w:val="Text2-1"/>
        <w:numPr>
          <w:ilvl w:val="0"/>
          <w:numId w:val="0"/>
        </w:numPr>
        <w:spacing w:after="0"/>
        <w:ind w:left="737"/>
        <w:rPr>
          <w:rStyle w:val="Tun"/>
        </w:rPr>
      </w:pPr>
    </w:p>
    <w:p w14:paraId="2EBA64F3" w14:textId="7028041D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>Správa železni</w:t>
      </w:r>
      <w:r w:rsidR="0001744E">
        <w:rPr>
          <w:rStyle w:val="Tun"/>
        </w:rPr>
        <w:t>c</w:t>
      </w:r>
      <w:r w:rsidRPr="002412E9">
        <w:rPr>
          <w:rStyle w:val="Tun"/>
        </w:rPr>
        <w:t>, státní organizace</w:t>
      </w:r>
    </w:p>
    <w:p w14:paraId="3FBF78DF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14:paraId="2F8CDE80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4A40A606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2D2DFFA2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58B4C051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2942D4CB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03EA42C5" w14:textId="2767030B" w:rsidR="00EC613E" w:rsidRPr="00AB59D3" w:rsidRDefault="00EC613E" w:rsidP="00EC613E">
      <w:pPr>
        <w:pStyle w:val="Textbezslovn"/>
      </w:pPr>
      <w:r w:rsidRPr="002A68E4">
        <w:rPr>
          <w:color w:val="000000" w:themeColor="text1"/>
        </w:rPr>
        <w:t xml:space="preserve">www: </w:t>
      </w:r>
      <w:hyperlink r:id="rId11" w:history="1">
        <w:r w:rsidRPr="002A68E4">
          <w:rPr>
            <w:rStyle w:val="Hypertextovodkaz"/>
            <w:color w:val="000000" w:themeColor="text1"/>
          </w:rPr>
          <w:t>www.tudc.cz</w:t>
        </w:r>
      </w:hyperlink>
      <w:r w:rsidRPr="002A68E4">
        <w:rPr>
          <w:color w:val="000000" w:themeColor="text1"/>
        </w:rPr>
        <w:t xml:space="preserve"> nebo </w:t>
      </w:r>
      <w:hyperlink r:id="rId12" w:history="1">
        <w:r w:rsidR="00DF69EE" w:rsidRPr="00DF69EE">
          <w:rPr>
            <w:rStyle w:val="Hypertextovodkaz"/>
            <w:color w:val="000000" w:themeColor="text1"/>
          </w:rPr>
          <w:t>www.spravazeleznic.cz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14:paraId="4D103CEF" w14:textId="77777777" w:rsidR="00451D7C" w:rsidRDefault="00451D7C" w:rsidP="00264D52">
      <w:pPr>
        <w:pStyle w:val="Textbezodsazen"/>
      </w:pPr>
    </w:p>
    <w:bookmarkEnd w:id="4"/>
    <w:bookmarkEnd w:id="5"/>
    <w:bookmarkEnd w:id="6"/>
    <w:bookmarkEnd w:id="7"/>
    <w:bookmarkEnd w:id="8"/>
    <w:p w14:paraId="68E68B76" w14:textId="77777777" w:rsidR="002B6B58" w:rsidRDefault="002B6B58" w:rsidP="00264D52">
      <w:pPr>
        <w:pStyle w:val="Textbezodsazen"/>
      </w:pPr>
    </w:p>
    <w:sectPr w:rsidR="002B6B58" w:rsidSect="00757290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320E0" w14:textId="77777777" w:rsidR="005E49D7" w:rsidRDefault="005E49D7" w:rsidP="00962258">
      <w:pPr>
        <w:spacing w:after="0" w:line="240" w:lineRule="auto"/>
      </w:pPr>
      <w:r>
        <w:separator/>
      </w:r>
    </w:p>
  </w:endnote>
  <w:endnote w:type="continuationSeparator" w:id="0">
    <w:p w14:paraId="6ACD2681" w14:textId="77777777" w:rsidR="005E49D7" w:rsidRDefault="005E49D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E49D7" w:rsidRPr="003462EB" w14:paraId="5ED7A012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8122872" w14:textId="4298A10A" w:rsidR="005E49D7" w:rsidRPr="00B8518B" w:rsidRDefault="005E49D7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6F9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6F9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6EBF2C1" w14:textId="1AF826A4" w:rsidR="005E49D7" w:rsidRDefault="005724C0" w:rsidP="003462EB">
          <w:pPr>
            <w:pStyle w:val="Zpatvlevo"/>
          </w:pPr>
          <w:r>
            <w:t>Třinec ON – úprava nevyužitých prostor</w:t>
          </w:r>
        </w:p>
        <w:p w14:paraId="611C3207" w14:textId="26557165" w:rsidR="005E49D7" w:rsidRDefault="005E49D7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11B81A5A" w14:textId="77777777" w:rsidR="005E49D7" w:rsidRPr="003462EB" w:rsidRDefault="005E49D7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1124C748" w14:textId="77777777" w:rsidR="005E49D7" w:rsidRPr="00614E71" w:rsidRDefault="005E49D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E49D7" w:rsidRPr="009E09BE" w14:paraId="18F5252C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66DD11AC" w14:textId="66CAE523" w:rsidR="00D07288" w:rsidRDefault="00D07288" w:rsidP="00D07288">
          <w:pPr>
            <w:pStyle w:val="Zpatvpravo"/>
          </w:pPr>
          <w:r>
            <w:t>Třinec ON – úprava nevyužitých prostor</w:t>
          </w:r>
        </w:p>
        <w:p w14:paraId="1287DA4A" w14:textId="77777777" w:rsidR="005E49D7" w:rsidRDefault="005E49D7" w:rsidP="003B111D">
          <w:pPr>
            <w:pStyle w:val="Zpatvpravo"/>
          </w:pPr>
          <w:r>
            <w:t>Příloha č. 2 c)</w:t>
          </w:r>
        </w:p>
        <w:p w14:paraId="00CE165D" w14:textId="77777777" w:rsidR="005E49D7" w:rsidRPr="003462EB" w:rsidRDefault="005E49D7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7D3C9A37" w14:textId="00B5100D" w:rsidR="005E49D7" w:rsidRPr="009E09BE" w:rsidRDefault="005E49D7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6F9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6F9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F9FCB4D" w14:textId="77777777" w:rsidR="005E49D7" w:rsidRPr="00B8518B" w:rsidRDefault="005E49D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3EB84" w14:textId="77777777" w:rsidR="005E49D7" w:rsidRPr="00B8518B" w:rsidRDefault="005E49D7" w:rsidP="00460660">
    <w:pPr>
      <w:pStyle w:val="Zpat"/>
      <w:rPr>
        <w:sz w:val="2"/>
        <w:szCs w:val="2"/>
      </w:rPr>
    </w:pPr>
  </w:p>
  <w:p w14:paraId="324EE884" w14:textId="77777777" w:rsidR="005E49D7" w:rsidRDefault="005E49D7" w:rsidP="00757290">
    <w:pPr>
      <w:pStyle w:val="Zpatvlevo"/>
      <w:rPr>
        <w:rFonts w:cs="Calibri"/>
        <w:szCs w:val="12"/>
      </w:rPr>
    </w:pPr>
  </w:p>
  <w:p w14:paraId="183AE753" w14:textId="77777777" w:rsidR="005E49D7" w:rsidRDefault="005E49D7" w:rsidP="00757290">
    <w:pPr>
      <w:pStyle w:val="Zpatvlevo"/>
    </w:pPr>
  </w:p>
  <w:p w14:paraId="26C906B0" w14:textId="77777777" w:rsidR="005E49D7" w:rsidRPr="00460660" w:rsidRDefault="005E49D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12201" w14:textId="77777777" w:rsidR="005E49D7" w:rsidRDefault="005E49D7" w:rsidP="00962258">
      <w:pPr>
        <w:spacing w:after="0" w:line="240" w:lineRule="auto"/>
      </w:pPr>
      <w:r>
        <w:separator/>
      </w:r>
    </w:p>
  </w:footnote>
  <w:footnote w:type="continuationSeparator" w:id="0">
    <w:p w14:paraId="206A6AB0" w14:textId="77777777" w:rsidR="005E49D7" w:rsidRDefault="005E49D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E49D7" w14:paraId="3217BCE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E289E0" w14:textId="77777777" w:rsidR="005E49D7" w:rsidRPr="00B8518B" w:rsidRDefault="005E49D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D0220E" w14:textId="77777777" w:rsidR="005E49D7" w:rsidRDefault="005E49D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68A21740" wp14:editId="2D62DA0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B7467C" w14:textId="77777777" w:rsidR="005E49D7" w:rsidRPr="00D6163D" w:rsidRDefault="005E49D7" w:rsidP="00FC6389">
          <w:pPr>
            <w:pStyle w:val="Druhdokumentu"/>
          </w:pPr>
        </w:p>
      </w:tc>
    </w:tr>
    <w:tr w:rsidR="005E49D7" w14:paraId="6747BE7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B6595C" w14:textId="77777777" w:rsidR="005E49D7" w:rsidRPr="00B8518B" w:rsidRDefault="005E49D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8EF2CB" w14:textId="77777777" w:rsidR="005E49D7" w:rsidRDefault="005E49D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8051D74" w14:textId="77777777" w:rsidR="005E49D7" w:rsidRPr="00D6163D" w:rsidRDefault="005E49D7" w:rsidP="00FC6389">
          <w:pPr>
            <w:pStyle w:val="Druhdokumentu"/>
          </w:pPr>
        </w:p>
      </w:tc>
    </w:tr>
  </w:tbl>
  <w:p w14:paraId="46628E1B" w14:textId="77777777" w:rsidR="005E49D7" w:rsidRPr="00D6163D" w:rsidRDefault="005E49D7" w:rsidP="00FC6389">
    <w:pPr>
      <w:pStyle w:val="Zhlav"/>
      <w:rPr>
        <w:sz w:val="8"/>
        <w:szCs w:val="8"/>
      </w:rPr>
    </w:pPr>
  </w:p>
  <w:p w14:paraId="4DF28876" w14:textId="77777777" w:rsidR="005E49D7" w:rsidRPr="00460660" w:rsidRDefault="005E49D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F8E2B482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7"/>
  </w:num>
  <w:num w:numId="10">
    <w:abstractNumId w:val="8"/>
  </w:num>
  <w:num w:numId="11">
    <w:abstractNumId w:val="9"/>
  </w:num>
  <w:num w:numId="12">
    <w:abstractNumId w:val="1"/>
  </w:num>
  <w:num w:numId="13">
    <w:abstractNumId w:val="4"/>
  </w:num>
  <w:num w:numId="14">
    <w:abstractNumId w:val="10"/>
  </w:num>
  <w:num w:numId="15">
    <w:abstractNumId w:val="3"/>
  </w:num>
  <w:num w:numId="16">
    <w:abstractNumId w:val="0"/>
  </w:num>
  <w:num w:numId="17">
    <w:abstractNumId w:val="4"/>
  </w:num>
  <w:num w:numId="18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D67"/>
    <w:rsid w:val="00012EC4"/>
    <w:rsid w:val="000145C8"/>
    <w:rsid w:val="0001744E"/>
    <w:rsid w:val="00017F3C"/>
    <w:rsid w:val="00022FA5"/>
    <w:rsid w:val="00041EC8"/>
    <w:rsid w:val="00051946"/>
    <w:rsid w:val="00054FC6"/>
    <w:rsid w:val="0006465A"/>
    <w:rsid w:val="0006588D"/>
    <w:rsid w:val="00067A5E"/>
    <w:rsid w:val="000719BB"/>
    <w:rsid w:val="00072A65"/>
    <w:rsid w:val="00072C1E"/>
    <w:rsid w:val="000768BE"/>
    <w:rsid w:val="00076B14"/>
    <w:rsid w:val="0008461A"/>
    <w:rsid w:val="000A2B28"/>
    <w:rsid w:val="000A6E75"/>
    <w:rsid w:val="000B03B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23D67"/>
    <w:rsid w:val="00130E62"/>
    <w:rsid w:val="00140433"/>
    <w:rsid w:val="00146BCB"/>
    <w:rsid w:val="0015027B"/>
    <w:rsid w:val="00153B6C"/>
    <w:rsid w:val="001656A2"/>
    <w:rsid w:val="00170EC5"/>
    <w:rsid w:val="001747C1"/>
    <w:rsid w:val="00177D6B"/>
    <w:rsid w:val="001860E7"/>
    <w:rsid w:val="00191F90"/>
    <w:rsid w:val="001A3B3C"/>
    <w:rsid w:val="001A649E"/>
    <w:rsid w:val="001B4180"/>
    <w:rsid w:val="001B4E74"/>
    <w:rsid w:val="001B7668"/>
    <w:rsid w:val="001C645F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80823"/>
    <w:rsid w:val="002A3B57"/>
    <w:rsid w:val="002B6B58"/>
    <w:rsid w:val="002C1924"/>
    <w:rsid w:val="002C31BF"/>
    <w:rsid w:val="002C431D"/>
    <w:rsid w:val="002D2102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0C40"/>
    <w:rsid w:val="00355002"/>
    <w:rsid w:val="003571D8"/>
    <w:rsid w:val="00357BC6"/>
    <w:rsid w:val="00361422"/>
    <w:rsid w:val="0037545D"/>
    <w:rsid w:val="00376246"/>
    <w:rsid w:val="00381840"/>
    <w:rsid w:val="00382E0E"/>
    <w:rsid w:val="00386FF1"/>
    <w:rsid w:val="00391CB8"/>
    <w:rsid w:val="00392EB6"/>
    <w:rsid w:val="003956C6"/>
    <w:rsid w:val="003A17A8"/>
    <w:rsid w:val="003B111D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2581E"/>
    <w:rsid w:val="004260B8"/>
    <w:rsid w:val="00427794"/>
    <w:rsid w:val="004428F7"/>
    <w:rsid w:val="00450F07"/>
    <w:rsid w:val="00451D7C"/>
    <w:rsid w:val="00453CD3"/>
    <w:rsid w:val="00460660"/>
    <w:rsid w:val="00463BD5"/>
    <w:rsid w:val="00464BA9"/>
    <w:rsid w:val="00471570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01CB"/>
    <w:rsid w:val="004E7A1F"/>
    <w:rsid w:val="004F367A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4729C"/>
    <w:rsid w:val="00553375"/>
    <w:rsid w:val="00555884"/>
    <w:rsid w:val="005724C0"/>
    <w:rsid w:val="005736B7"/>
    <w:rsid w:val="00575E5A"/>
    <w:rsid w:val="00580245"/>
    <w:rsid w:val="0058742A"/>
    <w:rsid w:val="00587CA4"/>
    <w:rsid w:val="00590B8A"/>
    <w:rsid w:val="005A1F44"/>
    <w:rsid w:val="005C24D4"/>
    <w:rsid w:val="005D3C39"/>
    <w:rsid w:val="005D7706"/>
    <w:rsid w:val="005E0006"/>
    <w:rsid w:val="005E49D7"/>
    <w:rsid w:val="005F44FC"/>
    <w:rsid w:val="00601A8C"/>
    <w:rsid w:val="0060289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6E48"/>
    <w:rsid w:val="0069136C"/>
    <w:rsid w:val="00693150"/>
    <w:rsid w:val="006A019B"/>
    <w:rsid w:val="006A5570"/>
    <w:rsid w:val="006A689C"/>
    <w:rsid w:val="006A747D"/>
    <w:rsid w:val="006B2318"/>
    <w:rsid w:val="006B3D79"/>
    <w:rsid w:val="006B3E78"/>
    <w:rsid w:val="006B6FE4"/>
    <w:rsid w:val="006C0D23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37E48"/>
    <w:rsid w:val="00740AF5"/>
    <w:rsid w:val="00743525"/>
    <w:rsid w:val="00744D42"/>
    <w:rsid w:val="00745555"/>
    <w:rsid w:val="00745B7E"/>
    <w:rsid w:val="00745F94"/>
    <w:rsid w:val="007541A2"/>
    <w:rsid w:val="00755818"/>
    <w:rsid w:val="00757290"/>
    <w:rsid w:val="0076286B"/>
    <w:rsid w:val="00766846"/>
    <w:rsid w:val="0076790E"/>
    <w:rsid w:val="00770601"/>
    <w:rsid w:val="0077673A"/>
    <w:rsid w:val="00776C2B"/>
    <w:rsid w:val="00783D43"/>
    <w:rsid w:val="007846E1"/>
    <w:rsid w:val="007847D6"/>
    <w:rsid w:val="007A202B"/>
    <w:rsid w:val="007A5172"/>
    <w:rsid w:val="007A67A0"/>
    <w:rsid w:val="007B133E"/>
    <w:rsid w:val="007B570C"/>
    <w:rsid w:val="007D6F90"/>
    <w:rsid w:val="007E4A6E"/>
    <w:rsid w:val="007F3FB9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21D01"/>
    <w:rsid w:val="00826B7B"/>
    <w:rsid w:val="0083197D"/>
    <w:rsid w:val="00834146"/>
    <w:rsid w:val="00846789"/>
    <w:rsid w:val="008614BA"/>
    <w:rsid w:val="00870BF5"/>
    <w:rsid w:val="0088200B"/>
    <w:rsid w:val="00887F36"/>
    <w:rsid w:val="00890A4F"/>
    <w:rsid w:val="00893C2E"/>
    <w:rsid w:val="008A01EA"/>
    <w:rsid w:val="008A3568"/>
    <w:rsid w:val="008A4FE4"/>
    <w:rsid w:val="008B0220"/>
    <w:rsid w:val="008B2B40"/>
    <w:rsid w:val="008C24A8"/>
    <w:rsid w:val="008C50F3"/>
    <w:rsid w:val="008C51A4"/>
    <w:rsid w:val="008C7EFE"/>
    <w:rsid w:val="008D03B9"/>
    <w:rsid w:val="008D2896"/>
    <w:rsid w:val="008D30C7"/>
    <w:rsid w:val="008E7C3A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C2C47"/>
    <w:rsid w:val="009C418E"/>
    <w:rsid w:val="009C442C"/>
    <w:rsid w:val="009C78D1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168C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B42A1"/>
    <w:rsid w:val="00AC34B6"/>
    <w:rsid w:val="00AC3E83"/>
    <w:rsid w:val="00AC59BD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16D0"/>
    <w:rsid w:val="00B02F73"/>
    <w:rsid w:val="00B0619F"/>
    <w:rsid w:val="00B101FD"/>
    <w:rsid w:val="00B1062E"/>
    <w:rsid w:val="00B13A26"/>
    <w:rsid w:val="00B15D0D"/>
    <w:rsid w:val="00B22106"/>
    <w:rsid w:val="00B232A2"/>
    <w:rsid w:val="00B31D98"/>
    <w:rsid w:val="00B344A3"/>
    <w:rsid w:val="00B46BA5"/>
    <w:rsid w:val="00B50AB2"/>
    <w:rsid w:val="00B5431A"/>
    <w:rsid w:val="00B56EB2"/>
    <w:rsid w:val="00B75EE1"/>
    <w:rsid w:val="00B77481"/>
    <w:rsid w:val="00B8518B"/>
    <w:rsid w:val="00B861EA"/>
    <w:rsid w:val="00B93566"/>
    <w:rsid w:val="00B97547"/>
    <w:rsid w:val="00B97CC3"/>
    <w:rsid w:val="00BA42F7"/>
    <w:rsid w:val="00BB3C8A"/>
    <w:rsid w:val="00BC0405"/>
    <w:rsid w:val="00BC06C4"/>
    <w:rsid w:val="00BD76C3"/>
    <w:rsid w:val="00BD7E91"/>
    <w:rsid w:val="00BD7F0D"/>
    <w:rsid w:val="00BE06DC"/>
    <w:rsid w:val="00BF54FE"/>
    <w:rsid w:val="00C02D0A"/>
    <w:rsid w:val="00C03A6E"/>
    <w:rsid w:val="00C13860"/>
    <w:rsid w:val="00C226C0"/>
    <w:rsid w:val="00C24A6A"/>
    <w:rsid w:val="00C30CA8"/>
    <w:rsid w:val="00C42FE6"/>
    <w:rsid w:val="00C44F6A"/>
    <w:rsid w:val="00C51B48"/>
    <w:rsid w:val="00C6198E"/>
    <w:rsid w:val="00C708EA"/>
    <w:rsid w:val="00C71821"/>
    <w:rsid w:val="00C73385"/>
    <w:rsid w:val="00C778A5"/>
    <w:rsid w:val="00C86957"/>
    <w:rsid w:val="00C90EA1"/>
    <w:rsid w:val="00C95162"/>
    <w:rsid w:val="00CB6A37"/>
    <w:rsid w:val="00CB7684"/>
    <w:rsid w:val="00CC7C8F"/>
    <w:rsid w:val="00CD1FC4"/>
    <w:rsid w:val="00CD7EB3"/>
    <w:rsid w:val="00D034A0"/>
    <w:rsid w:val="00D0372A"/>
    <w:rsid w:val="00D07288"/>
    <w:rsid w:val="00D0732C"/>
    <w:rsid w:val="00D101DD"/>
    <w:rsid w:val="00D21061"/>
    <w:rsid w:val="00D322B7"/>
    <w:rsid w:val="00D4108E"/>
    <w:rsid w:val="00D521D0"/>
    <w:rsid w:val="00D6163D"/>
    <w:rsid w:val="00D76AA2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C4C9F"/>
    <w:rsid w:val="00DD46F3"/>
    <w:rsid w:val="00DE51A5"/>
    <w:rsid w:val="00DE56F2"/>
    <w:rsid w:val="00DF116D"/>
    <w:rsid w:val="00DF4DDD"/>
    <w:rsid w:val="00DF69EE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660D9"/>
    <w:rsid w:val="00E7218A"/>
    <w:rsid w:val="00E84C3A"/>
    <w:rsid w:val="00E878EE"/>
    <w:rsid w:val="00EA6EC7"/>
    <w:rsid w:val="00EB104F"/>
    <w:rsid w:val="00EB1EA8"/>
    <w:rsid w:val="00EB46E5"/>
    <w:rsid w:val="00EC613E"/>
    <w:rsid w:val="00ED0703"/>
    <w:rsid w:val="00ED14BD"/>
    <w:rsid w:val="00EF1373"/>
    <w:rsid w:val="00F016C7"/>
    <w:rsid w:val="00F12DEC"/>
    <w:rsid w:val="00F1715C"/>
    <w:rsid w:val="00F261AB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065B599"/>
  <w14:defaultImageDpi w14:val="32767"/>
  <w15:docId w15:val="{1F0794CB-B118-4F93-926B-7CDE8BC4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qFormat/>
    <w:rsid w:val="00A7168C"/>
    <w:pPr>
      <w:keepNext/>
      <w:numPr>
        <w:ilvl w:val="1"/>
        <w:numId w:val="15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A7168C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A7168C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A7168C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A7168C"/>
    <w:pPr>
      <w:numPr>
        <w:ilvl w:val="3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Normln"/>
    <w:link w:val="TPText-1odrkaChar"/>
    <w:qFormat/>
    <w:rsid w:val="00B016D0"/>
    <w:pPr>
      <w:numPr>
        <w:numId w:val="16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character" w:customStyle="1" w:styleId="TPText-1odrkaChar">
    <w:name w:val="TP_Text-1_• odrážka Char"/>
    <w:link w:val="TPText-1odrka"/>
    <w:rsid w:val="00B016D0"/>
    <w:rPr>
      <w:rFonts w:ascii="Calibri" w:eastAsia="Calibri" w:hAnsi="Calibri" w:cs="Arial"/>
      <w:snapToGrid w:val="0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ud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55E73B7044C4859909A2AF792CD52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74A8C8-BC59-4BB0-9B87-278C823B141E}"/>
      </w:docPartPr>
      <w:docPartBody>
        <w:p w:rsidR="00D01CC6" w:rsidRDefault="00D01CC6">
          <w:pPr>
            <w:pStyle w:val="655E73B7044C4859909A2AF792CD527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1CC6"/>
    <w:rsid w:val="00D01CC6"/>
    <w:rsid w:val="00F2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55E73B7044C4859909A2AF792CD5276">
    <w:name w:val="655E73B7044C4859909A2AF792CD52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D4B8177-76EC-4194-9F1D-E356F0C39F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5</Pages>
  <Words>1034</Words>
  <Characters>6105</Characters>
  <Application>Microsoft Office Word</Application>
  <DocSecurity>0</DocSecurity>
  <Lines>50</Lines>
  <Paragraphs>14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Hrbáčová Klára, Ing.</dc:creator>
  <cp:lastModifiedBy>Miroslav Pazlar</cp:lastModifiedBy>
  <cp:revision>31</cp:revision>
  <cp:lastPrinted>2020-10-19T10:08:00Z</cp:lastPrinted>
  <dcterms:created xsi:type="dcterms:W3CDTF">2020-03-09T08:31:00Z</dcterms:created>
  <dcterms:modified xsi:type="dcterms:W3CDTF">2021-05-24T06:40:00Z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